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73303" w14:textId="77777777" w:rsidR="00BB331A" w:rsidRDefault="00000000">
      <w:pPr>
        <w:spacing w:after="200" w:line="36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Quynh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Phan</w:t>
      </w:r>
      <w:proofErr w:type="spellEnd"/>
    </w:p>
    <w:p w14:paraId="122CE8BA" w14:textId="77777777" w:rsidR="00BB331A" w:rsidRDefault="00BB331A">
      <w:pPr>
        <w:spacing w:after="200" w:line="360" w:lineRule="auto"/>
        <w:jc w:val="center"/>
        <w:rPr>
          <w:rFonts w:ascii="Times New Roman" w:eastAsia="Times New Roman" w:hAnsi="Times New Roman" w:cs="Times New Roman"/>
          <w:b/>
          <w:sz w:val="24"/>
          <w:szCs w:val="24"/>
        </w:rPr>
      </w:pPr>
    </w:p>
    <w:p w14:paraId="5FE8DABF" w14:textId="77777777" w:rsidR="00BB331A" w:rsidRDefault="00000000">
      <w:pPr>
        <w:spacing w:after="20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KICZ W MOIM DOMU</w:t>
      </w:r>
    </w:p>
    <w:p w14:paraId="031CAD8D" w14:textId="77777777" w:rsidR="00BB331A" w:rsidRDefault="00000000">
      <w:pPr>
        <w:pStyle w:val="Nagwek1"/>
      </w:pPr>
      <w:bookmarkStart w:id="0" w:name="_5ncxvd1mxpbj" w:colFirst="0" w:colLast="0"/>
      <w:bookmarkEnd w:id="0"/>
      <w:r>
        <w:t>Czym jest kicz?</w:t>
      </w:r>
    </w:p>
    <w:p w14:paraId="7E3ABDBB" w14:textId="77777777" w:rsidR="00BB331A" w:rsidRDefault="00BB331A"/>
    <w:p w14:paraId="2E8DA207" w14:textId="77777777" w:rsidR="00BB331A"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Słowo kicz powstało w drugiej połowie XIX wieku w monachijskich kołach malarskich i dotyczyło wtedy obrazów. W polskiej leksykografii pojawia się po raz pierwszy w Słowniku języka polskiego pod red. J. Karłowicza, A. Kryńskiego, W. Niedźwiedzkiego: „kicz” to „obraz lichy, marny, malowany na sprzedaż”. W następnych wydaniach definicja rozszerzyła się do rzeźby, utworu literackiego i filmu. W Słowniku współczesnego języka polskiego pod red. B. </w:t>
      </w:r>
      <w:proofErr w:type="spellStart"/>
      <w:r>
        <w:rPr>
          <w:rFonts w:ascii="Times New Roman" w:eastAsia="Times New Roman" w:hAnsi="Times New Roman" w:cs="Times New Roman"/>
          <w:sz w:val="24"/>
          <w:szCs w:val="24"/>
        </w:rPr>
        <w:t>Dunaja</w:t>
      </w:r>
      <w:proofErr w:type="spellEnd"/>
      <w:r>
        <w:rPr>
          <w:rFonts w:ascii="Times New Roman" w:eastAsia="Times New Roman" w:hAnsi="Times New Roman" w:cs="Times New Roman"/>
          <w:sz w:val="24"/>
          <w:szCs w:val="24"/>
        </w:rPr>
        <w:t xml:space="preserve"> leksem kicz posiada dwa znaczenia:</w:t>
      </w:r>
    </w:p>
    <w:p w14:paraId="0A8DB11A" w14:textId="77777777" w:rsidR="00BB331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lekceważąco o dziele sztuki, sztuce mało wartościowej, pozbawionej smaku artystycznego, łatwej w odbiorze, skierowanej do przeciętnych, niewymagających odbiorców; szmira: Filmowy, malarski kicz. Ckliwy, pretensjonalny kicz.</w:t>
      </w:r>
    </w:p>
    <w:p w14:paraId="78CFDBA7" w14:textId="77777777" w:rsidR="00BB331A" w:rsidRDefault="00000000">
      <w:pPr>
        <w:spacing w:after="20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tani, bezwartościowy towar, pozbawiony smaku; tandeta”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p w14:paraId="592A921F"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kolei w swoim eseju </w:t>
      </w:r>
      <w:proofErr w:type="spellStart"/>
      <w:r>
        <w:rPr>
          <w:rFonts w:ascii="Times New Roman" w:eastAsia="Times New Roman" w:hAnsi="Times New Roman" w:cs="Times New Roman"/>
          <w:i/>
          <w:sz w:val="24"/>
          <w:szCs w:val="24"/>
        </w:rPr>
        <w:t>Avant-Garde</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Kitsch</w:t>
      </w:r>
      <w:proofErr w:type="spellEnd"/>
      <w:r>
        <w:rPr>
          <w:rFonts w:ascii="Times New Roman" w:eastAsia="Times New Roman" w:hAnsi="Times New Roman" w:cs="Times New Roman"/>
          <w:sz w:val="24"/>
          <w:szCs w:val="24"/>
        </w:rPr>
        <w:t xml:space="preserve">, Clement </w:t>
      </w:r>
      <w:proofErr w:type="spellStart"/>
      <w:r>
        <w:rPr>
          <w:rFonts w:ascii="Times New Roman" w:eastAsia="Times New Roman" w:hAnsi="Times New Roman" w:cs="Times New Roman"/>
          <w:sz w:val="24"/>
          <w:szCs w:val="24"/>
        </w:rPr>
        <w:t>Greenberg</w:t>
      </w:r>
      <w:proofErr w:type="spellEnd"/>
      <w:r>
        <w:rPr>
          <w:rFonts w:ascii="Times New Roman" w:eastAsia="Times New Roman" w:hAnsi="Times New Roman" w:cs="Times New Roman"/>
          <w:sz w:val="24"/>
          <w:szCs w:val="24"/>
        </w:rPr>
        <w:t xml:space="preserve"> nazywa</w:t>
      </w:r>
    </w:p>
    <w:p w14:paraId="5134A439" w14:textId="77777777" w:rsidR="00BB33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 produktem rewolucji przemysłowej, która spowodowała masową urbanizację w Europie Zachodniej i Ameryce oraz doprowadziła do powszechnej alfabetyzacji</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Umiejętność czytania i pisania, która była wcześniej przywilejem ludzi mających czas i warunki</w:t>
      </w:r>
    </w:p>
    <w:p w14:paraId="6B8D0D4D" w14:textId="77777777" w:rsidR="00BB331A"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obcowania z kulturą wyższą, stopniowa straciła swoje symboliczne znaczenie. Piśmiennictwo przestało wyróżniać osoby o bardziej wyrafinowanym guście. Kicz stanowił nowy towar, który miał zaspokoić pragnienie rozrywki i kontaktu z nieskomplikowaną kulturą. </w:t>
      </w:r>
      <w:proofErr w:type="spellStart"/>
      <w:r>
        <w:rPr>
          <w:rFonts w:ascii="Times New Roman" w:eastAsia="Times New Roman" w:hAnsi="Times New Roman" w:cs="Times New Roman"/>
          <w:sz w:val="24"/>
          <w:szCs w:val="24"/>
        </w:rPr>
        <w:t>Greenberg</w:t>
      </w:r>
      <w:proofErr w:type="spellEnd"/>
      <w:r>
        <w:rPr>
          <w:rFonts w:ascii="Times New Roman" w:eastAsia="Times New Roman" w:hAnsi="Times New Roman" w:cs="Times New Roman"/>
          <w:sz w:val="24"/>
          <w:szCs w:val="24"/>
        </w:rPr>
        <w:t xml:space="preserve"> uznaje za jego budulec zbanalizowane i akademickie </w:t>
      </w:r>
      <w:proofErr w:type="spellStart"/>
      <w:r>
        <w:rPr>
          <w:rFonts w:ascii="Times New Roman" w:eastAsia="Times New Roman" w:hAnsi="Times New Roman" w:cs="Times New Roman"/>
          <w:sz w:val="24"/>
          <w:szCs w:val="24"/>
        </w:rPr>
        <w:t>symulakry</w:t>
      </w:r>
      <w:proofErr w:type="spellEnd"/>
      <w:r>
        <w:rPr>
          <w:rFonts w:ascii="Times New Roman" w:eastAsia="Times New Roman" w:hAnsi="Times New Roman" w:cs="Times New Roman"/>
          <w:sz w:val="24"/>
          <w:szCs w:val="24"/>
        </w:rPr>
        <w:t xml:space="preserve"> prawdziwej kultury, a źródło znajduje w zysku. Od swoich odbiorców wymaga tylko pieniędzy.</w:t>
      </w:r>
    </w:p>
    <w:p w14:paraId="1D4420B6"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Choć nie ma on wyraźnych granic i jasno określonego znaczenia, w swoich rozważaniach kicz będę interpretować zgodnie z wyżej opisanymi definicjami. </w:t>
      </w:r>
    </w:p>
    <w:p w14:paraId="59A7A295" w14:textId="77777777" w:rsidR="00BB331A" w:rsidRDefault="00000000">
      <w:pPr>
        <w:pStyle w:val="Nagwek1"/>
        <w:jc w:val="both"/>
      </w:pPr>
      <w:bookmarkStart w:id="1" w:name="_ik32w1gh6dr" w:colFirst="0" w:colLast="0"/>
      <w:bookmarkEnd w:id="1"/>
      <w:r>
        <w:lastRenderedPageBreak/>
        <w:t>Wymiar symboliczny kiczu</w:t>
      </w:r>
    </w:p>
    <w:p w14:paraId="0F151E60" w14:textId="77777777" w:rsidR="00BB331A" w:rsidRDefault="00BB331A"/>
    <w:p w14:paraId="383B0019" w14:textId="77777777" w:rsidR="00BB331A" w:rsidRDefault="0000000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Kicz, ze względu na to, że jest kategorią estetyczną stanowi również kwestię gustu, który jest zmienny w czasie i przestrzeni społecznej</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Z tego powodu, w omawianym temacie, warto odwołać się do myśli Pierre’a </w:t>
      </w:r>
      <w:proofErr w:type="spellStart"/>
      <w:r>
        <w:rPr>
          <w:rFonts w:ascii="Times New Roman" w:eastAsia="Times New Roman" w:hAnsi="Times New Roman" w:cs="Times New Roman"/>
          <w:sz w:val="24"/>
          <w:szCs w:val="24"/>
        </w:rPr>
        <w:t>Bourdieu</w:t>
      </w:r>
      <w:proofErr w:type="spellEnd"/>
      <w:r>
        <w:rPr>
          <w:rFonts w:ascii="Times New Roman" w:eastAsia="Times New Roman" w:hAnsi="Times New Roman" w:cs="Times New Roman"/>
          <w:sz w:val="24"/>
          <w:szCs w:val="24"/>
        </w:rPr>
        <w:t>. Zgodnie z nią, zmysł estetyczny jest kształtowany przez środowisko społeczne oraz należy do dystynktywnego habitusu danej grupy, jest właściwym danej grupie sposobem odczytywania świata</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4A7F93E7"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Podobnie, Abraham </w:t>
      </w:r>
      <w:proofErr w:type="spellStart"/>
      <w:r>
        <w:rPr>
          <w:rFonts w:ascii="Times New Roman" w:eastAsia="Times New Roman" w:hAnsi="Times New Roman" w:cs="Times New Roman"/>
          <w:sz w:val="24"/>
          <w:szCs w:val="24"/>
        </w:rPr>
        <w:t>Moles</w:t>
      </w:r>
      <w:proofErr w:type="spellEnd"/>
      <w:r>
        <w:rPr>
          <w:rFonts w:ascii="Times New Roman" w:eastAsia="Times New Roman" w:hAnsi="Times New Roman" w:cs="Times New Roman"/>
          <w:sz w:val="24"/>
          <w:szCs w:val="24"/>
        </w:rPr>
        <w:t xml:space="preserve"> – francuski socjolog – początki kiczu widzi</w:t>
      </w:r>
    </w:p>
    <w:p w14:paraId="1B59D013" w14:textId="77777777" w:rsidR="00BB331A"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ukonstytuowaniu się dziewiętnastowiecznego mieszczańskiego „społeczeństwa nadmiaru”, w którym burżuazja próbowała uprawomocnić swoją rosnącą pozycję, otaczając się wytwarzanymi masowo, tandetnymi imitacjami arystokratycznych symboli statusowych</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w:t>
      </w:r>
    </w:p>
    <w:p w14:paraId="5F90237F"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współczesnym społeczeństwie uważam, tę zjawisko za zintensyfikowane,</w:t>
      </w:r>
    </w:p>
    <w:p w14:paraId="37AE9AA0" w14:textId="77777777" w:rsidR="00BB33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 względu na rosnący konsumpcjonizm oraz przemijalność dynamicznych trendów.</w:t>
      </w:r>
    </w:p>
    <w:p w14:paraId="406EBDA6" w14:textId="77777777" w:rsidR="00BB33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własnej przestrzeni domowej zauważyłam to w kilku miejscach.</w:t>
      </w:r>
    </w:p>
    <w:p w14:paraId="736E54C1" w14:textId="77777777" w:rsidR="00BB331A" w:rsidRDefault="00BB331A">
      <w:pPr>
        <w:spacing w:line="360" w:lineRule="auto"/>
        <w:jc w:val="both"/>
        <w:rPr>
          <w:rFonts w:ascii="Times New Roman" w:eastAsia="Times New Roman" w:hAnsi="Times New Roman" w:cs="Times New Roman"/>
          <w:sz w:val="24"/>
          <w:szCs w:val="24"/>
        </w:rPr>
      </w:pPr>
    </w:p>
    <w:p w14:paraId="6AB66CF1" w14:textId="77777777" w:rsidR="00BB331A" w:rsidRDefault="00000000">
      <w:pPr>
        <w:pStyle w:val="Nagwek1"/>
        <w:jc w:val="both"/>
      </w:pPr>
      <w:bookmarkStart w:id="2" w:name="_o7tlraqa0g3h" w:colFirst="0" w:colLast="0"/>
      <w:bookmarkEnd w:id="2"/>
      <w:proofErr w:type="spellStart"/>
      <w:r>
        <w:t>Eviva</w:t>
      </w:r>
      <w:proofErr w:type="spellEnd"/>
      <w:r>
        <w:t xml:space="preserve"> </w:t>
      </w:r>
      <w:proofErr w:type="spellStart"/>
      <w:r>
        <w:t>l’arte</w:t>
      </w:r>
      <w:proofErr w:type="spellEnd"/>
      <w:r>
        <w:t xml:space="preserve"> na budżecie</w:t>
      </w:r>
    </w:p>
    <w:p w14:paraId="737E4B10" w14:textId="77777777" w:rsidR="00BB331A" w:rsidRDefault="00BB331A"/>
    <w:p w14:paraId="4F12AC22"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Zainteresowanie sztuką rozwinęłam w miarę dojrzewania i nie wyniosłam jej z domu, szczególnie, ponieważ mój tata jest z zawodu logistykiem wojskowym, a mama księgową,</w:t>
      </w:r>
    </w:p>
    <w:p w14:paraId="1A626FFE" w14:textId="77777777" w:rsidR="00BB33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 znalazło swoje odbicie w ich sferze zainteresowań oraz środowisku jakim się otaczali,</w:t>
      </w:r>
    </w:p>
    <w:p w14:paraId="4D6F1C5E" w14:textId="77777777" w:rsidR="00BB331A"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tym samym w jakim mnie wychowali. Stąd rozwijałam się bez znajomości ważnych malarzy i ich dzieł, tym bardziej bez klasycznych obrazów na ścianach. Jednak nie pozostawały one puste. Zastąpiły je reprodukcje, które pełniły rolę czysto instrumentalną jako dekoracyjne uzupełnienie wnętrza.</w:t>
      </w:r>
    </w:p>
    <w:p w14:paraId="3AA02BB9"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 opisał to Abraham </w:t>
      </w:r>
      <w:proofErr w:type="spellStart"/>
      <w:r>
        <w:rPr>
          <w:rFonts w:ascii="Times New Roman" w:eastAsia="Times New Roman" w:hAnsi="Times New Roman" w:cs="Times New Roman"/>
          <w:sz w:val="24"/>
          <w:szCs w:val="24"/>
        </w:rPr>
        <w:t>Moles</w:t>
      </w:r>
      <w:proofErr w:type="spellEnd"/>
      <w:r>
        <w:rPr>
          <w:rFonts w:ascii="Times New Roman" w:eastAsia="Times New Roman" w:hAnsi="Times New Roman" w:cs="Times New Roman"/>
          <w:sz w:val="24"/>
          <w:szCs w:val="24"/>
        </w:rPr>
        <w:t xml:space="preserve">, może być to próba uprawomocnienia swojego statusu poprzez otaczanie się substytutami sztuki. Były to dla nich przystępne i łatwo dostępne dekoracje domowe. Może to także mieć swoje podłoże w imigranckim pochodzeniu moich </w:t>
      </w:r>
      <w:r>
        <w:rPr>
          <w:rFonts w:ascii="Times New Roman" w:eastAsia="Times New Roman" w:hAnsi="Times New Roman" w:cs="Times New Roman"/>
          <w:sz w:val="24"/>
          <w:szCs w:val="24"/>
        </w:rPr>
        <w:lastRenderedPageBreak/>
        <w:t>rodziców, którzy nie byli jeszcze zakorzenieni w sztuce europejskiej, szerzej dostępnej w Polsce. Tworzenie wystroju odnoszącego się do własnej kultury mogłoby obudzić dysonans między nowym światem, w którym zaczynali się zadomawiać a tym, który pozostawili w Wietnamie. W takiej sytuacji, sięgnęli po formy bardziej uniwersalne, o niskiej wartości artystycznej czy emocjonalnej, zachowanej w bezpiecznych granicach poprzez swoją prostotę oraz spokojne barwy.</w:t>
      </w:r>
    </w:p>
    <w:p w14:paraId="2DBA2F6D" w14:textId="77777777" w:rsidR="00BB331A" w:rsidRDefault="00000000">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Obrazy.</w:t>
      </w:r>
      <w:r>
        <w:rPr>
          <w:noProof/>
        </w:rPr>
        <w:drawing>
          <wp:anchor distT="57150" distB="57150" distL="57150" distR="57150" simplePos="0" relativeHeight="251658240" behindDoc="0" locked="0" layoutInCell="1" hidden="0" allowOverlap="1" wp14:anchorId="56D7138E" wp14:editId="141619E3">
            <wp:simplePos x="0" y="0"/>
            <wp:positionH relativeFrom="column">
              <wp:posOffset>1</wp:posOffset>
            </wp:positionH>
            <wp:positionV relativeFrom="paragraph">
              <wp:posOffset>219075</wp:posOffset>
            </wp:positionV>
            <wp:extent cx="2228255" cy="1671191"/>
            <wp:effectExtent l="0" t="0" r="0" b="0"/>
            <wp:wrapSquare wrapText="bothSides" distT="57150" distB="57150" distL="57150" distR="5715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228255" cy="1671191"/>
                    </a:xfrm>
                    <a:prstGeom prst="rect">
                      <a:avLst/>
                    </a:prstGeom>
                    <a:ln/>
                  </pic:spPr>
                </pic:pic>
              </a:graphicData>
            </a:graphic>
          </wp:anchor>
        </w:drawing>
      </w:r>
      <w:r>
        <w:rPr>
          <w:noProof/>
        </w:rPr>
        <w:drawing>
          <wp:anchor distT="57150" distB="57150" distL="57150" distR="57150" simplePos="0" relativeHeight="251659264" behindDoc="0" locked="0" layoutInCell="1" hidden="0" allowOverlap="1" wp14:anchorId="2EEBD123" wp14:editId="27C303FB">
            <wp:simplePos x="0" y="0"/>
            <wp:positionH relativeFrom="column">
              <wp:posOffset>4581525</wp:posOffset>
            </wp:positionH>
            <wp:positionV relativeFrom="paragraph">
              <wp:posOffset>223838</wp:posOffset>
            </wp:positionV>
            <wp:extent cx="1157203" cy="1657350"/>
            <wp:effectExtent l="0" t="0" r="0" b="0"/>
            <wp:wrapSquare wrapText="bothSides" distT="57150" distB="57150" distL="57150" distR="5715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1157203" cy="1657350"/>
                    </a:xfrm>
                    <a:prstGeom prst="rect">
                      <a:avLst/>
                    </a:prstGeom>
                    <a:ln/>
                  </pic:spPr>
                </pic:pic>
              </a:graphicData>
            </a:graphic>
          </wp:anchor>
        </w:drawing>
      </w:r>
      <w:r>
        <w:rPr>
          <w:noProof/>
        </w:rPr>
        <w:drawing>
          <wp:anchor distT="57150" distB="57150" distL="57150" distR="57150" simplePos="0" relativeHeight="251660288" behindDoc="0" locked="0" layoutInCell="1" hidden="0" allowOverlap="1" wp14:anchorId="7F7C8CF8" wp14:editId="68390FA9">
            <wp:simplePos x="0" y="0"/>
            <wp:positionH relativeFrom="column">
              <wp:posOffset>2286000</wp:posOffset>
            </wp:positionH>
            <wp:positionV relativeFrom="paragraph">
              <wp:posOffset>219075</wp:posOffset>
            </wp:positionV>
            <wp:extent cx="2241659" cy="1666875"/>
            <wp:effectExtent l="0" t="0" r="0" b="0"/>
            <wp:wrapSquare wrapText="bothSides" distT="57150" distB="57150" distL="57150" distR="5715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41659" cy="1666875"/>
                    </a:xfrm>
                    <a:prstGeom prst="rect">
                      <a:avLst/>
                    </a:prstGeom>
                    <a:ln/>
                  </pic:spPr>
                </pic:pic>
              </a:graphicData>
            </a:graphic>
          </wp:anchor>
        </w:drawing>
      </w:r>
    </w:p>
    <w:p w14:paraId="5ABA2C8E" w14:textId="77777777" w:rsidR="00BB331A" w:rsidRDefault="00BB331A">
      <w:pPr>
        <w:spacing w:line="360" w:lineRule="auto"/>
        <w:jc w:val="center"/>
        <w:rPr>
          <w:rFonts w:ascii="Times New Roman" w:eastAsia="Times New Roman" w:hAnsi="Times New Roman" w:cs="Times New Roman"/>
          <w:sz w:val="16"/>
          <w:szCs w:val="16"/>
        </w:rPr>
      </w:pPr>
    </w:p>
    <w:p w14:paraId="334C3A20" w14:textId="77777777" w:rsidR="00BB331A" w:rsidRDefault="0000000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Łączy się to również z myślą Rychlewskiego, który krytykował kicz, nazywając go „</w:t>
      </w:r>
      <w:proofErr w:type="spellStart"/>
      <w:r>
        <w:rPr>
          <w:rFonts w:ascii="Times New Roman" w:eastAsia="Times New Roman" w:hAnsi="Times New Roman" w:cs="Times New Roman"/>
          <w:sz w:val="24"/>
          <w:szCs w:val="24"/>
        </w:rPr>
        <w:t>pseudosztuką</w:t>
      </w:r>
      <w:proofErr w:type="spellEnd"/>
      <w:r>
        <w:rPr>
          <w:rFonts w:ascii="Times New Roman" w:eastAsia="Times New Roman" w:hAnsi="Times New Roman" w:cs="Times New Roman"/>
          <w:sz w:val="24"/>
          <w:szCs w:val="24"/>
        </w:rPr>
        <w:t>”, ponieważ naśladuje efekty sztuki, dąży do «pięknych» efektów, posługując się w tym celu znanymi i społecznie akceptowanymi konwencjami artystycznymi. Dodaje, że nie wymaga wysiłku ani znajomości sztuki. Zapewnia widzowi poczucie bezpieczeństwa przez to, że potwierdza wyznawany przezeń system wartości i zaspokaja jego potrzebę obcowania z gwałtownymi emocjami i podniosłymi nastrojami”</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w:t>
      </w:r>
    </w:p>
    <w:p w14:paraId="0E5E9EBE"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Osobiście nie odczuwam pragnienia przeżywania opisywanych przez Rychlewskiego emocji oraz patosu. Dom jest dla mnie przestrzenią odpoczynku, dbam o jego czystość</w:t>
      </w:r>
    </w:p>
    <w:p w14:paraId="5EFC8C94" w14:textId="77777777" w:rsidR="00BB33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porządek, natomiast w celu obcowania z wysokimi kategoriami estetycznymi wybieram się do muzeów lub galerii sztuki, szczególnie korzystając z ich wysokiej dostępności</w:t>
      </w:r>
    </w:p>
    <w:p w14:paraId="19A9F464" w14:textId="77777777" w:rsidR="00BB33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Warszawie. Stąd na ścianach mojej sypialni wisi owa </w:t>
      </w:r>
      <w:proofErr w:type="spellStart"/>
      <w:r>
        <w:rPr>
          <w:rFonts w:ascii="Times New Roman" w:eastAsia="Times New Roman" w:hAnsi="Times New Roman" w:cs="Times New Roman"/>
          <w:sz w:val="24"/>
          <w:szCs w:val="24"/>
        </w:rPr>
        <w:t>pseudosztuka</w:t>
      </w:r>
      <w:proofErr w:type="spellEnd"/>
      <w:r>
        <w:rPr>
          <w:rFonts w:ascii="Times New Roman" w:eastAsia="Times New Roman" w:hAnsi="Times New Roman" w:cs="Times New Roman"/>
          <w:sz w:val="24"/>
          <w:szCs w:val="24"/>
        </w:rPr>
        <w:t xml:space="preserve"> w wielu formach, zakupiona w przystępnej cenie w sklepikach muzealnych na wyjazdach, z czym łączy się dla mnie nostalgia. Są w moich oczach symbolem tych wspomnień, bardziej niż przedmiotem zadumy artystycznej. </w:t>
      </w:r>
    </w:p>
    <w:p w14:paraId="28116603" w14:textId="77777777" w:rsidR="00BB331A" w:rsidRDefault="00000000">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01AB31D" wp14:editId="4B564EE1">
            <wp:extent cx="3472758" cy="2591611"/>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472758" cy="2591611"/>
                    </a:xfrm>
                    <a:prstGeom prst="rect">
                      <a:avLst/>
                    </a:prstGeom>
                    <a:ln/>
                  </pic:spPr>
                </pic:pic>
              </a:graphicData>
            </a:graphic>
          </wp:inline>
        </w:drawing>
      </w:r>
    </w:p>
    <w:p w14:paraId="3E835815" w14:textId="77777777" w:rsidR="00BB331A" w:rsidRDefault="00000000">
      <w:pPr>
        <w:spacing w:line="360" w:lineRule="auto"/>
        <w:ind w:firstLine="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Plakaty reprodukujące dzieła Moneta i Wyspiańskiego.</w:t>
      </w:r>
    </w:p>
    <w:p w14:paraId="4FD6F30C" w14:textId="77777777" w:rsidR="00BB331A" w:rsidRDefault="00BB331A">
      <w:pPr>
        <w:spacing w:line="360" w:lineRule="auto"/>
        <w:ind w:firstLine="720"/>
        <w:jc w:val="center"/>
        <w:rPr>
          <w:rFonts w:ascii="Times New Roman" w:eastAsia="Times New Roman" w:hAnsi="Times New Roman" w:cs="Times New Roman"/>
          <w:sz w:val="18"/>
          <w:szCs w:val="18"/>
        </w:rPr>
      </w:pPr>
    </w:p>
    <w:p w14:paraId="0436EFE6"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Choć muszę przyznać, że w ostatnich miesiącach spędzałam więcej czasu w domu mojego chłopaka, którego tata regularnie kupuje obrazy wyższej jakości i zaczynam widzieć w tym wartość. Pobudziło to we mnie refleksje, że najprawdopodobniej przywykłam</w:t>
      </w:r>
    </w:p>
    <w:p w14:paraId="4A9E0A8B" w14:textId="77777777" w:rsidR="00BB33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wystroju mojego domu rodzinnego, a gdybym miała dekorować własne, to już bym nie była przekonana do tej </w:t>
      </w:r>
      <w:proofErr w:type="spellStart"/>
      <w:r>
        <w:rPr>
          <w:rFonts w:ascii="Times New Roman" w:eastAsia="Times New Roman" w:hAnsi="Times New Roman" w:cs="Times New Roman"/>
          <w:sz w:val="24"/>
          <w:szCs w:val="24"/>
        </w:rPr>
        <w:t>pseudosztuki</w:t>
      </w:r>
      <w:proofErr w:type="spellEnd"/>
      <w:r>
        <w:rPr>
          <w:rFonts w:ascii="Times New Roman" w:eastAsia="Times New Roman" w:hAnsi="Times New Roman" w:cs="Times New Roman"/>
          <w:sz w:val="24"/>
          <w:szCs w:val="24"/>
        </w:rPr>
        <w:t xml:space="preserve"> lub tanich reprodukcji.</w:t>
      </w:r>
    </w:p>
    <w:p w14:paraId="2C0754FB" w14:textId="77777777" w:rsidR="00BB331A" w:rsidRDefault="00BB331A">
      <w:pPr>
        <w:spacing w:line="360" w:lineRule="auto"/>
        <w:ind w:firstLine="720"/>
        <w:jc w:val="both"/>
        <w:rPr>
          <w:rFonts w:ascii="Times New Roman" w:eastAsia="Times New Roman" w:hAnsi="Times New Roman" w:cs="Times New Roman"/>
          <w:sz w:val="24"/>
          <w:szCs w:val="24"/>
        </w:rPr>
      </w:pPr>
    </w:p>
    <w:p w14:paraId="3053FCE6" w14:textId="77777777" w:rsidR="00BB331A" w:rsidRDefault="00000000">
      <w:pPr>
        <w:pStyle w:val="Nagwek1"/>
        <w:spacing w:after="200"/>
        <w:jc w:val="both"/>
      </w:pPr>
      <w:bookmarkStart w:id="3" w:name="_slvxnwq7izfl" w:colFirst="0" w:colLast="0"/>
      <w:bookmarkEnd w:id="3"/>
      <w:r>
        <w:t>Konsumpcyjny aspekt kiczu</w:t>
      </w:r>
    </w:p>
    <w:p w14:paraId="2119C39F" w14:textId="77777777" w:rsidR="00BB331A" w:rsidRDefault="00BB331A"/>
    <w:p w14:paraId="747269D9" w14:textId="77777777" w:rsidR="00BB331A"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Poglądy zbliżone do </w:t>
      </w:r>
      <w:proofErr w:type="spellStart"/>
      <w:r>
        <w:rPr>
          <w:rFonts w:ascii="Times New Roman" w:eastAsia="Times New Roman" w:hAnsi="Times New Roman" w:cs="Times New Roman"/>
          <w:sz w:val="24"/>
          <w:szCs w:val="24"/>
        </w:rPr>
        <w:t>Molesa</w:t>
      </w:r>
      <w:proofErr w:type="spellEnd"/>
      <w:r>
        <w:rPr>
          <w:rFonts w:ascii="Times New Roman" w:eastAsia="Times New Roman" w:hAnsi="Times New Roman" w:cs="Times New Roman"/>
          <w:sz w:val="24"/>
          <w:szCs w:val="24"/>
        </w:rPr>
        <w:t xml:space="preserve"> przedstawia Jean </w:t>
      </w:r>
      <w:proofErr w:type="spellStart"/>
      <w:r>
        <w:rPr>
          <w:rFonts w:ascii="Times New Roman" w:eastAsia="Times New Roman" w:hAnsi="Times New Roman" w:cs="Times New Roman"/>
          <w:sz w:val="24"/>
          <w:szCs w:val="24"/>
        </w:rPr>
        <w:t>Baudrillard</w:t>
      </w:r>
      <w:proofErr w:type="spellEnd"/>
      <w:r>
        <w:rPr>
          <w:rFonts w:ascii="Times New Roman" w:eastAsia="Times New Roman" w:hAnsi="Times New Roman" w:cs="Times New Roman"/>
          <w:sz w:val="24"/>
          <w:szCs w:val="24"/>
        </w:rPr>
        <w:t>, analizując współczesne zbiorowości konsumpcyjne oraz procesy cyrkulacji znaków. Przedmioty kiczowate charakteryzuje on jako masowo produkowane i powszechnie dostępne, które nie pełnią funkcji dystynkcyjnej, lecz stymulują konsumpcję, dzięki niskiej cenie, atrakcyjności wizualnej i łatwości pozyskania.</w:t>
      </w:r>
    </w:p>
    <w:p w14:paraId="6453A7C9" w14:textId="77777777" w:rsidR="00BB331A" w:rsidRDefault="0000000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moim domu przykładami takich przedmiotów są ubrania z </w:t>
      </w:r>
      <w:r>
        <w:rPr>
          <w:rFonts w:ascii="Times New Roman" w:eastAsia="Times New Roman" w:hAnsi="Times New Roman" w:cs="Times New Roman"/>
          <w:i/>
          <w:sz w:val="24"/>
          <w:szCs w:val="24"/>
        </w:rPr>
        <w:t xml:space="preserve">fast </w:t>
      </w:r>
      <w:proofErr w:type="spellStart"/>
      <w:r>
        <w:rPr>
          <w:rFonts w:ascii="Times New Roman" w:eastAsia="Times New Roman" w:hAnsi="Times New Roman" w:cs="Times New Roman"/>
          <w:i/>
          <w:sz w:val="24"/>
          <w:szCs w:val="24"/>
        </w:rPr>
        <w:t>fashion</w:t>
      </w:r>
      <w:proofErr w:type="spellEnd"/>
      <w:r>
        <w:rPr>
          <w:rFonts w:ascii="Times New Roman" w:eastAsia="Times New Roman" w:hAnsi="Times New Roman" w:cs="Times New Roman"/>
          <w:i/>
          <w:sz w:val="24"/>
          <w:szCs w:val="24"/>
          <w:vertAlign w:val="superscript"/>
        </w:rPr>
        <w:footnoteReference w:id="7"/>
      </w:r>
      <w:r>
        <w:rPr>
          <w:rFonts w:ascii="Times New Roman" w:eastAsia="Times New Roman" w:hAnsi="Times New Roman" w:cs="Times New Roman"/>
          <w:sz w:val="24"/>
          <w:szCs w:val="24"/>
        </w:rPr>
        <w:t xml:space="preserve">, które ze względu na logikę rynku oraz dynamiczne zmiany w trendach, są szyte z tanich i nietrwałych materiałów oraz stanowią imitację projektów pojawiających się na wybiegach modowych. </w:t>
      </w:r>
    </w:p>
    <w:p w14:paraId="7858B0E5" w14:textId="77777777" w:rsidR="00BB331A"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Symboliczny wymiar ubrań stał się dla mnie bardzo wyraźny odkąd zaczęłam pracę</w:t>
      </w:r>
    </w:p>
    <w:p w14:paraId="7D872A16" w14:textId="77777777" w:rsidR="00BB331A"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 butiku z polską odzieżą. Sloganami marki są: zrównoważony rozwój, konsumpcja etyczna, sprawiedliwy handel oraz transparentność, co budzi zainteresowanie konkretnego typu klienta. Charakteryzuje się on wysokimi wymaganiami – są to zazwyczaj osoby zamożniejsze oraz wykształcone, które cenią sobie produkty ekskluzywne. W czasie rozmów z nimi słyszałam takie głosy krytyki jak: „[...] bo tu są ładniejsze ubrania, nie jak w Gucci, gdzie za przeproszeniem wieś śpiewa i tańczy” lub „ładne te spodnie, ale widać, że </w:t>
      </w:r>
      <w:proofErr w:type="spellStart"/>
      <w:r>
        <w:rPr>
          <w:rFonts w:ascii="Times New Roman" w:eastAsia="Times New Roman" w:hAnsi="Times New Roman" w:cs="Times New Roman"/>
          <w:sz w:val="24"/>
          <w:szCs w:val="24"/>
        </w:rPr>
        <w:t>podróba</w:t>
      </w:r>
      <w:proofErr w:type="spellEnd"/>
      <w:r>
        <w:rPr>
          <w:rFonts w:ascii="Times New Roman" w:eastAsia="Times New Roman" w:hAnsi="Times New Roman" w:cs="Times New Roman"/>
          <w:sz w:val="24"/>
          <w:szCs w:val="24"/>
        </w:rPr>
        <w:t xml:space="preserve"> Victorii </w:t>
      </w:r>
      <w:proofErr w:type="spellStart"/>
      <w:r>
        <w:rPr>
          <w:rFonts w:ascii="Times New Roman" w:eastAsia="Times New Roman" w:hAnsi="Times New Roman" w:cs="Times New Roman"/>
          <w:sz w:val="24"/>
          <w:szCs w:val="24"/>
        </w:rPr>
        <w:t>Beckham</w:t>
      </w:r>
      <w:proofErr w:type="spellEnd"/>
      <w:r>
        <w:rPr>
          <w:rFonts w:ascii="Times New Roman" w:eastAsia="Times New Roman" w:hAnsi="Times New Roman" w:cs="Times New Roman"/>
          <w:sz w:val="24"/>
          <w:szCs w:val="24"/>
        </w:rPr>
        <w:t>”.</w:t>
      </w:r>
    </w:p>
    <w:p w14:paraId="45669995" w14:textId="77777777" w:rsidR="00BB331A" w:rsidRDefault="0000000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Takie uwagi pokazywały mi, że ubrania niosą za sobą nie tylko wartość użytkową, lecz są też nośnikiem symboli, związanych ze statusem oraz prestiżem. Pożądane staje się dystansowanie od kiczu, to jest wybieranie odzieży oznaczającej przemyślaną konsumpcję oraz gust, zamiast bezrefleksyjnego wpasowywania się w szybko przemijające trendy modowe.</w:t>
      </w:r>
    </w:p>
    <w:p w14:paraId="0C1ED242" w14:textId="77777777" w:rsidR="00BB331A"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Patrząc na własną szafę widzę kontrast między większością moich ubrań pochodzących z „</w:t>
      </w:r>
      <w:proofErr w:type="spellStart"/>
      <w:r>
        <w:rPr>
          <w:rFonts w:ascii="Times New Roman" w:eastAsia="Times New Roman" w:hAnsi="Times New Roman" w:cs="Times New Roman"/>
          <w:sz w:val="24"/>
          <w:szCs w:val="24"/>
        </w:rPr>
        <w:t>sieciówek</w:t>
      </w:r>
      <w:proofErr w:type="spellEnd"/>
      <w:r>
        <w:rPr>
          <w:rFonts w:ascii="Times New Roman" w:eastAsia="Times New Roman" w:hAnsi="Times New Roman" w:cs="Times New Roman"/>
          <w:sz w:val="24"/>
          <w:szCs w:val="24"/>
        </w:rPr>
        <w:t>” a kilkoma sztukami z butiku, które mogłam kupić, dzięki zniżce pracowniczej, a które nie byłyby w zasięgu moich 30,50 złoty na godzinę. Poprzez pracę</w:t>
      </w:r>
    </w:p>
    <w:p w14:paraId="1574DB63" w14:textId="77777777" w:rsidR="00BB33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tymi klientkami, zdobyłam poczucie, że gdy je zakładam stanowią dla mnie jakiegoś rodzaju kostium. Mam świadomość, że nosząc je będę poważniej traktowana w pracy, ale również w droższych sklepach, czy teatrze. W ten sposób element mojej przestrzeni domowej wynoszę na zewnątrz, jako narzędzie autoprezentacji.</w:t>
      </w:r>
      <w:r>
        <w:rPr>
          <w:noProof/>
        </w:rPr>
        <w:drawing>
          <wp:anchor distT="114300" distB="114300" distL="114300" distR="114300" simplePos="0" relativeHeight="251661312" behindDoc="0" locked="0" layoutInCell="1" hidden="0" allowOverlap="1" wp14:anchorId="491CE494" wp14:editId="7479EF9C">
            <wp:simplePos x="0" y="0"/>
            <wp:positionH relativeFrom="column">
              <wp:posOffset>1704975</wp:posOffset>
            </wp:positionH>
            <wp:positionV relativeFrom="paragraph">
              <wp:posOffset>1143000</wp:posOffset>
            </wp:positionV>
            <wp:extent cx="2266950" cy="3016787"/>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266950" cy="3016787"/>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4EA1874" wp14:editId="23B8D975">
            <wp:simplePos x="0" y="0"/>
            <wp:positionH relativeFrom="column">
              <wp:posOffset>4100513</wp:posOffset>
            </wp:positionH>
            <wp:positionV relativeFrom="paragraph">
              <wp:posOffset>1143000</wp:posOffset>
            </wp:positionV>
            <wp:extent cx="2266950" cy="3016787"/>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266950" cy="3016787"/>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057B23A4" wp14:editId="6012FEA7">
            <wp:simplePos x="0" y="0"/>
            <wp:positionH relativeFrom="column">
              <wp:posOffset>-695324</wp:posOffset>
            </wp:positionH>
            <wp:positionV relativeFrom="paragraph">
              <wp:posOffset>1143000</wp:posOffset>
            </wp:positionV>
            <wp:extent cx="2270469" cy="3030203"/>
            <wp:effectExtent l="0" t="0" r="0" b="0"/>
            <wp:wrapSquare wrapText="bothSides" distT="114300" distB="11430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270469" cy="3030203"/>
                    </a:xfrm>
                    <a:prstGeom prst="rect">
                      <a:avLst/>
                    </a:prstGeom>
                    <a:ln/>
                  </pic:spPr>
                </pic:pic>
              </a:graphicData>
            </a:graphic>
          </wp:anchor>
        </w:drawing>
      </w:r>
    </w:p>
    <w:p w14:paraId="3F111B4A" w14:textId="77777777" w:rsidR="00BB331A" w:rsidRDefault="00000000">
      <w:pPr>
        <w:spacing w:after="200" w:line="360" w:lineRule="auto"/>
        <w:ind w:firstLine="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Sukienki i płaszcz z butiku oraz top z </w:t>
      </w:r>
      <w:proofErr w:type="spellStart"/>
      <w:r>
        <w:rPr>
          <w:rFonts w:ascii="Times New Roman" w:eastAsia="Times New Roman" w:hAnsi="Times New Roman" w:cs="Times New Roman"/>
          <w:sz w:val="18"/>
          <w:szCs w:val="18"/>
        </w:rPr>
        <w:t>sieciówki</w:t>
      </w:r>
      <w:proofErr w:type="spellEnd"/>
      <w:r>
        <w:rPr>
          <w:rFonts w:ascii="Times New Roman" w:eastAsia="Times New Roman" w:hAnsi="Times New Roman" w:cs="Times New Roman"/>
          <w:sz w:val="18"/>
          <w:szCs w:val="18"/>
        </w:rPr>
        <w:t>.</w:t>
      </w:r>
    </w:p>
    <w:p w14:paraId="0E50B3D0" w14:textId="77777777" w:rsidR="00BB331A" w:rsidRDefault="00000000">
      <w:pPr>
        <w:pStyle w:val="Nagwek1"/>
        <w:spacing w:after="200"/>
        <w:jc w:val="both"/>
      </w:pPr>
      <w:bookmarkStart w:id="4" w:name="_2jx3chatdep7" w:colFirst="0" w:colLast="0"/>
      <w:bookmarkEnd w:id="4"/>
      <w:r>
        <w:lastRenderedPageBreak/>
        <w:t>Pamiątki</w:t>
      </w:r>
    </w:p>
    <w:p w14:paraId="490EE271" w14:textId="77777777" w:rsidR="00BB331A" w:rsidRDefault="0000000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Inną kategorią takich przedmiotów są pamiątki z podróży, które idealnie wpisują się w miano </w:t>
      </w:r>
      <w:proofErr w:type="spellStart"/>
      <w:r>
        <w:rPr>
          <w:rFonts w:ascii="Times New Roman" w:eastAsia="Times New Roman" w:hAnsi="Times New Roman" w:cs="Times New Roman"/>
          <w:sz w:val="24"/>
          <w:szCs w:val="24"/>
        </w:rPr>
        <w:t>pseudosztuki</w:t>
      </w:r>
      <w:proofErr w:type="spellEnd"/>
      <w:r>
        <w:rPr>
          <w:rFonts w:ascii="Times New Roman" w:eastAsia="Times New Roman" w:hAnsi="Times New Roman" w:cs="Times New Roman"/>
          <w:sz w:val="24"/>
          <w:szCs w:val="24"/>
        </w:rPr>
        <w:t>. Są one wytwarzane na masową skalę według jednego i uniwersalnego schematu, do tego reprodukują stereotypowy wizerunek, czy też symbol danego kraju. W ten sposób nie przedstawiają rzeczywistego obrazu kultury i historii.</w:t>
      </w:r>
    </w:p>
    <w:p w14:paraId="5B11E583" w14:textId="77777777" w:rsidR="00BB331A" w:rsidRDefault="0000000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Poddając to refleksji, pomyślałam, że może ich realną funkcją jest autoprezentacja. Pokazują, że ja – jako osoba, która je zakupiła i wkomponowała w swoją przestrzeń domową – jest osobą, która lubi podróżować i może sobie na to pozwolić finansowo oraz czasowo. Stają się elementem budowania autowizerunku, ukazując mnie jako osobę otwartą, ciekawą świata i nie bojącą się przygód. Stąd wydaje mi się, że tutaj kicz nie ma funkcji estetycznej,</w:t>
      </w:r>
    </w:p>
    <w:p w14:paraId="589EB1F9" w14:textId="77777777" w:rsidR="00BB331A"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funkcję komunikacyjną.</w:t>
      </w:r>
    </w:p>
    <w:p w14:paraId="5B1E8010" w14:textId="77777777" w:rsidR="00BB331A" w:rsidRDefault="00000000">
      <w:pPr>
        <w:spacing w:after="20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Wieża </w:t>
      </w:r>
      <w:proofErr w:type="spellStart"/>
      <w:r>
        <w:rPr>
          <w:rFonts w:ascii="Times New Roman" w:eastAsia="Times New Roman" w:hAnsi="Times New Roman" w:cs="Times New Roman"/>
          <w:sz w:val="18"/>
          <w:szCs w:val="18"/>
        </w:rPr>
        <w:t>Eiffle’a</w:t>
      </w:r>
      <w:proofErr w:type="spellEnd"/>
      <w:r>
        <w:rPr>
          <w:rFonts w:ascii="Times New Roman" w:eastAsia="Times New Roman" w:hAnsi="Times New Roman" w:cs="Times New Roman"/>
          <w:sz w:val="18"/>
          <w:szCs w:val="18"/>
        </w:rPr>
        <w:t>, figurka z Chęcin, kapelusz z Wietnamu, zakładka z Lizbony, magnes z Montpellier i Amsterdamu, pozytywka z Wiednia, zapalniczka z Paryża, zeszyt i zakładka z Pragi.</w:t>
      </w:r>
      <w:r>
        <w:rPr>
          <w:noProof/>
        </w:rPr>
        <w:drawing>
          <wp:anchor distT="114300" distB="114300" distL="114300" distR="114300" simplePos="0" relativeHeight="251664384" behindDoc="0" locked="0" layoutInCell="1" hidden="0" allowOverlap="1" wp14:anchorId="53C02FB9" wp14:editId="0EF3AAFF">
            <wp:simplePos x="0" y="0"/>
            <wp:positionH relativeFrom="column">
              <wp:posOffset>1866900</wp:posOffset>
            </wp:positionH>
            <wp:positionV relativeFrom="paragraph">
              <wp:posOffset>200025</wp:posOffset>
            </wp:positionV>
            <wp:extent cx="2200275" cy="2933700"/>
            <wp:effectExtent l="0" t="0" r="0" b="0"/>
            <wp:wrapSquare wrapText="bothSides" distT="114300" distB="114300" distL="114300" distR="11430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200275" cy="293370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34F3A37F" wp14:editId="01D41515">
            <wp:simplePos x="0" y="0"/>
            <wp:positionH relativeFrom="column">
              <wp:posOffset>-400049</wp:posOffset>
            </wp:positionH>
            <wp:positionV relativeFrom="paragraph">
              <wp:posOffset>195262</wp:posOffset>
            </wp:positionV>
            <wp:extent cx="2199714" cy="2940670"/>
            <wp:effectExtent l="0" t="0" r="0" b="0"/>
            <wp:wrapSquare wrapText="bothSides" distT="114300" distB="114300" distL="114300" distR="1143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199714" cy="2940670"/>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40398738" wp14:editId="7A0538D9">
            <wp:simplePos x="0" y="0"/>
            <wp:positionH relativeFrom="column">
              <wp:posOffset>4133850</wp:posOffset>
            </wp:positionH>
            <wp:positionV relativeFrom="paragraph">
              <wp:posOffset>196614</wp:posOffset>
            </wp:positionV>
            <wp:extent cx="2200275" cy="2937111"/>
            <wp:effectExtent l="0" t="0" r="0" b="0"/>
            <wp:wrapSquare wrapText="bothSides" distT="114300" distB="114300" distL="114300" distR="1143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200275" cy="2937111"/>
                    </a:xfrm>
                    <a:prstGeom prst="rect">
                      <a:avLst/>
                    </a:prstGeom>
                    <a:ln/>
                  </pic:spPr>
                </pic:pic>
              </a:graphicData>
            </a:graphic>
          </wp:anchor>
        </w:drawing>
      </w:r>
    </w:p>
    <w:p w14:paraId="3C23C127" w14:textId="77777777" w:rsidR="00BB331A" w:rsidRDefault="00000000">
      <w:pPr>
        <w:pStyle w:val="Nagwek1"/>
        <w:spacing w:after="200"/>
        <w:jc w:val="both"/>
      </w:pPr>
      <w:bookmarkStart w:id="5" w:name="_ap9vrm4zv1nu" w:colFirst="0" w:colLast="0"/>
      <w:bookmarkEnd w:id="5"/>
      <w:r>
        <w:br w:type="page"/>
      </w:r>
    </w:p>
    <w:p w14:paraId="42B5B8C1" w14:textId="77777777" w:rsidR="00BB331A" w:rsidRDefault="00000000">
      <w:pPr>
        <w:pStyle w:val="Nagwek1"/>
        <w:spacing w:after="200"/>
        <w:jc w:val="both"/>
      </w:pPr>
      <w:bookmarkStart w:id="6" w:name="_bklhz3hi79qw" w:colFirst="0" w:colLast="0"/>
      <w:bookmarkEnd w:id="6"/>
      <w:r>
        <w:lastRenderedPageBreak/>
        <w:t>Podsumowanie</w:t>
      </w:r>
    </w:p>
    <w:p w14:paraId="507D97CF" w14:textId="77777777" w:rsidR="00BB331A" w:rsidRDefault="00000000">
      <w:pPr>
        <w:spacing w:after="200" w:line="360" w:lineRule="auto"/>
        <w:ind w:firstLine="720"/>
        <w:jc w:val="both"/>
      </w:pPr>
      <w:r>
        <w:rPr>
          <w:rFonts w:ascii="Times New Roman" w:eastAsia="Times New Roman" w:hAnsi="Times New Roman" w:cs="Times New Roman"/>
          <w:sz w:val="24"/>
          <w:szCs w:val="24"/>
        </w:rPr>
        <w:t>Analizując otaczające mnie przedmioty oraz ich znaczenie symboliczne w moim domu, myślę, że kicz nie jest kategorią wyłącznie estetyczną, ale również społeczną i komunikacyjną. Kicz nie uznaję jako brak gustu, lecz bardziej jako produkt systemu opartego na szybkiej i łatwej konsumpcji. Widzę w nim również moje wspomnienia, które przemycam do przestrzeni domowej w widocznych miejscach.</w:t>
      </w:r>
    </w:p>
    <w:p w14:paraId="7D35B5EA" w14:textId="77777777" w:rsidR="00BB331A" w:rsidRDefault="00BB331A">
      <w:pPr>
        <w:spacing w:after="200" w:line="360" w:lineRule="auto"/>
        <w:jc w:val="both"/>
        <w:rPr>
          <w:rFonts w:ascii="Times New Roman" w:eastAsia="Times New Roman" w:hAnsi="Times New Roman" w:cs="Times New Roman"/>
          <w:sz w:val="24"/>
          <w:szCs w:val="24"/>
        </w:rPr>
      </w:pPr>
    </w:p>
    <w:p w14:paraId="1090CA6C" w14:textId="77777777" w:rsidR="00BB331A" w:rsidRDefault="00BB331A">
      <w:pPr>
        <w:spacing w:after="200" w:line="240" w:lineRule="auto"/>
        <w:rPr>
          <w:rFonts w:ascii="Times New Roman" w:eastAsia="Times New Roman" w:hAnsi="Times New Roman" w:cs="Times New Roman"/>
          <w:sz w:val="18"/>
          <w:szCs w:val="18"/>
        </w:rPr>
      </w:pPr>
    </w:p>
    <w:p w14:paraId="1DB240D1" w14:textId="77777777" w:rsidR="00BB331A" w:rsidRDefault="00BB331A">
      <w:pPr>
        <w:spacing w:after="200" w:line="240" w:lineRule="auto"/>
        <w:jc w:val="center"/>
        <w:rPr>
          <w:rFonts w:ascii="Times New Roman" w:eastAsia="Times New Roman" w:hAnsi="Times New Roman" w:cs="Times New Roman"/>
          <w:sz w:val="24"/>
          <w:szCs w:val="24"/>
        </w:rPr>
      </w:pPr>
    </w:p>
    <w:p w14:paraId="5A6D5283" w14:textId="77777777" w:rsidR="00BB331A" w:rsidRDefault="00BB331A">
      <w:pPr>
        <w:spacing w:after="200" w:line="240" w:lineRule="auto"/>
        <w:jc w:val="center"/>
        <w:rPr>
          <w:rFonts w:ascii="Times New Roman" w:eastAsia="Times New Roman" w:hAnsi="Times New Roman" w:cs="Times New Roman"/>
          <w:sz w:val="24"/>
          <w:szCs w:val="24"/>
        </w:rPr>
      </w:pPr>
    </w:p>
    <w:p w14:paraId="2F035B76" w14:textId="77777777" w:rsidR="00BB331A" w:rsidRDefault="00BB331A">
      <w:pPr>
        <w:spacing w:after="200" w:line="360" w:lineRule="auto"/>
        <w:jc w:val="both"/>
        <w:rPr>
          <w:rFonts w:ascii="Times New Roman" w:eastAsia="Times New Roman" w:hAnsi="Times New Roman" w:cs="Times New Roman"/>
          <w:sz w:val="24"/>
          <w:szCs w:val="24"/>
        </w:rPr>
      </w:pPr>
    </w:p>
    <w:p w14:paraId="2ED8789D" w14:textId="77777777" w:rsidR="00BB331A" w:rsidRDefault="00000000">
      <w:pPr>
        <w:spacing w:after="200" w:line="360" w:lineRule="auto"/>
        <w:jc w:val="both"/>
        <w:rPr>
          <w:rFonts w:ascii="Times New Roman" w:eastAsia="Times New Roman" w:hAnsi="Times New Roman" w:cs="Times New Roman"/>
          <w:sz w:val="24"/>
          <w:szCs w:val="24"/>
        </w:rPr>
      </w:pPr>
      <w:r>
        <w:br w:type="page"/>
      </w:r>
    </w:p>
    <w:p w14:paraId="4197E219" w14:textId="77777777" w:rsidR="00BB331A" w:rsidRDefault="00000000">
      <w:pPr>
        <w:pStyle w:val="Nagwek1"/>
        <w:spacing w:after="200"/>
        <w:jc w:val="both"/>
      </w:pPr>
      <w:bookmarkStart w:id="7" w:name="_s8eo6mcj6f60" w:colFirst="0" w:colLast="0"/>
      <w:bookmarkEnd w:id="7"/>
      <w:r>
        <w:lastRenderedPageBreak/>
        <w:t>Bibliografia:</w:t>
      </w:r>
    </w:p>
    <w:p w14:paraId="7AC9A25C" w14:textId="77777777" w:rsidR="00BB331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Wszystkie zdjęcia: opracowanie własne </w:t>
      </w:r>
      <w:proofErr w:type="spellStart"/>
      <w:r>
        <w:rPr>
          <w:rFonts w:ascii="Times New Roman" w:eastAsia="Times New Roman" w:hAnsi="Times New Roman" w:cs="Times New Roman"/>
          <w:sz w:val="24"/>
          <w:szCs w:val="24"/>
        </w:rPr>
        <w:t>Quynh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Phan</w:t>
      </w:r>
      <w:proofErr w:type="spellEnd"/>
      <w:r>
        <w:rPr>
          <w:rFonts w:ascii="Times New Roman" w:eastAsia="Times New Roman" w:hAnsi="Times New Roman" w:cs="Times New Roman"/>
          <w:sz w:val="24"/>
          <w:szCs w:val="24"/>
        </w:rPr>
        <w:t>.</w:t>
      </w:r>
    </w:p>
    <w:p w14:paraId="246695FD" w14:textId="77777777" w:rsidR="00BB331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proofErr w:type="spellStart"/>
      <w:r>
        <w:rPr>
          <w:rFonts w:ascii="Times New Roman" w:eastAsia="Times New Roman" w:hAnsi="Times New Roman" w:cs="Times New Roman"/>
          <w:sz w:val="24"/>
          <w:szCs w:val="24"/>
        </w:rPr>
        <w:t>Bourdieu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Dystynkcja. Społeczna krytyka władzy sądzenia</w:t>
      </w:r>
      <w:r>
        <w:rPr>
          <w:rFonts w:ascii="Times New Roman" w:eastAsia="Times New Roman" w:hAnsi="Times New Roman" w:cs="Times New Roman"/>
          <w:sz w:val="24"/>
          <w:szCs w:val="24"/>
        </w:rPr>
        <w:t xml:space="preserve">, tłum. Piotr </w:t>
      </w:r>
      <w:proofErr w:type="spellStart"/>
      <w:r>
        <w:rPr>
          <w:rFonts w:ascii="Times New Roman" w:eastAsia="Times New Roman" w:hAnsi="Times New Roman" w:cs="Times New Roman"/>
          <w:sz w:val="24"/>
          <w:szCs w:val="24"/>
        </w:rPr>
        <w:t>Biłos</w:t>
      </w:r>
      <w:proofErr w:type="spellEnd"/>
      <w:r>
        <w:rPr>
          <w:rFonts w:ascii="Times New Roman" w:eastAsia="Times New Roman" w:hAnsi="Times New Roman" w:cs="Times New Roman"/>
          <w:sz w:val="24"/>
          <w:szCs w:val="24"/>
        </w:rPr>
        <w:t>, Scholar, Warszawa 2005.</w:t>
      </w:r>
    </w:p>
    <w:p w14:paraId="0E94DA6A" w14:textId="77777777" w:rsidR="00BB331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z w:val="24"/>
          <w:szCs w:val="24"/>
        </w:rPr>
        <w:t>Gaze</w:t>
      </w:r>
      <w:proofErr w:type="spellEnd"/>
      <w:r>
        <w:rPr>
          <w:rFonts w:ascii="Times New Roman" w:eastAsia="Times New Roman" w:hAnsi="Times New Roman" w:cs="Times New Roman"/>
          <w:sz w:val="24"/>
          <w:szCs w:val="24"/>
        </w:rPr>
        <w:t xml:space="preserve">, M. Karasek, </w:t>
      </w:r>
      <w:r>
        <w:rPr>
          <w:rFonts w:ascii="Times New Roman" w:eastAsia="Times New Roman" w:hAnsi="Times New Roman" w:cs="Times New Roman"/>
          <w:i/>
          <w:sz w:val="24"/>
          <w:szCs w:val="24"/>
        </w:rPr>
        <w:t>Kicz niejedno ma imię, czyli o językowym obrazie kiczu (na podstawie analizy słownikowej oraz stron www)</w:t>
      </w:r>
      <w:r>
        <w:rPr>
          <w:rFonts w:ascii="Times New Roman" w:eastAsia="Times New Roman" w:hAnsi="Times New Roman" w:cs="Times New Roman"/>
          <w:sz w:val="24"/>
          <w:szCs w:val="24"/>
        </w:rPr>
        <w:t>, 2016.</w:t>
      </w:r>
    </w:p>
    <w:p w14:paraId="7F8BBD44" w14:textId="77777777" w:rsidR="00BB331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Greenberg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Avant-Garde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Kitsch</w:t>
      </w:r>
      <w:proofErr w:type="spellEnd"/>
      <w:r>
        <w:rPr>
          <w:rFonts w:ascii="Times New Roman" w:eastAsia="Times New Roman" w:hAnsi="Times New Roman" w:cs="Times New Roman"/>
          <w:sz w:val="24"/>
          <w:szCs w:val="24"/>
        </w:rPr>
        <w:t>, 1939 [</w:t>
      </w:r>
      <w:hyperlink r:id="rId17">
        <w:r>
          <w:rPr>
            <w:rFonts w:ascii="Times New Roman" w:eastAsia="Times New Roman" w:hAnsi="Times New Roman" w:cs="Times New Roman"/>
            <w:color w:val="1155CC"/>
            <w:sz w:val="24"/>
            <w:szCs w:val="24"/>
            <w:u w:val="single"/>
          </w:rPr>
          <w:t>https://resources.finalsite.net/images/v1606923282/slcschoolsorg/wumlyaskvhhzawsvbbzc/Avant-GardeandKitsch.pdf</w:t>
        </w:r>
      </w:hyperlink>
      <w:r>
        <w:rPr>
          <w:rFonts w:ascii="Times New Roman" w:eastAsia="Times New Roman" w:hAnsi="Times New Roman" w:cs="Times New Roman"/>
          <w:sz w:val="24"/>
          <w:szCs w:val="24"/>
        </w:rPr>
        <w:t>].</w:t>
      </w:r>
    </w:p>
    <w:p w14:paraId="2EE8D2B7" w14:textId="77777777" w:rsidR="00BB331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w:t>
      </w:r>
      <w:proofErr w:type="spellStart"/>
      <w:r>
        <w:rPr>
          <w:rFonts w:ascii="Times New Roman" w:eastAsia="Times New Roman" w:hAnsi="Times New Roman" w:cs="Times New Roman"/>
          <w:sz w:val="24"/>
          <w:szCs w:val="24"/>
        </w:rPr>
        <w:t>Grodny</w:t>
      </w:r>
      <w:proofErr w:type="spellEnd"/>
      <w:r>
        <w:rPr>
          <w:rFonts w:ascii="Times New Roman" w:eastAsia="Times New Roman" w:hAnsi="Times New Roman" w:cs="Times New Roman"/>
          <w:sz w:val="24"/>
          <w:szCs w:val="24"/>
        </w:rPr>
        <w:t>, J. Gruszka, K. Łuczaj, O zawężaniu wyższego gustu estetycznego. Analiza zjawiska wszystkożerności kulturowej w Polsce, Studia socjologiczne 2013, 2 (209), [</w:t>
      </w:r>
      <w:hyperlink r:id="rId18">
        <w:r>
          <w:rPr>
            <w:rFonts w:ascii="Times New Roman" w:eastAsia="Times New Roman" w:hAnsi="Times New Roman" w:cs="Times New Roman"/>
            <w:color w:val="1155CC"/>
            <w:sz w:val="24"/>
            <w:szCs w:val="24"/>
            <w:u w:val="single"/>
          </w:rPr>
          <w:t>https://ruj.uj.edu.pl/server/api/core/bitstreams/f8871438-18c6-4a3d-b94d-0d1d849a951d/content</w:t>
        </w:r>
      </w:hyperlink>
      <w:r>
        <w:rPr>
          <w:rFonts w:ascii="Times New Roman" w:eastAsia="Times New Roman" w:hAnsi="Times New Roman" w:cs="Times New Roman"/>
          <w:sz w:val="24"/>
          <w:szCs w:val="24"/>
        </w:rPr>
        <w:t>].</w:t>
      </w:r>
    </w:p>
    <w:p w14:paraId="34E87772" w14:textId="77777777" w:rsidR="00BB331A"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Jaworski, Kicz w trzech odsłonach, Czasopisma PAN, 2013 [</w:t>
      </w:r>
      <w:hyperlink r:id="rId19">
        <w:r>
          <w:rPr>
            <w:rFonts w:ascii="Times New Roman" w:eastAsia="Times New Roman" w:hAnsi="Times New Roman" w:cs="Times New Roman"/>
            <w:color w:val="1155CC"/>
            <w:sz w:val="24"/>
            <w:szCs w:val="24"/>
            <w:u w:val="single"/>
          </w:rPr>
          <w:t>https://journals.pan.pl/Content/86744/PDF/Journal10276-Volume57_Issue1-09_paper.pdf</w:t>
        </w:r>
      </w:hyperlink>
      <w:r>
        <w:rPr>
          <w:rFonts w:ascii="Times New Roman" w:eastAsia="Times New Roman" w:hAnsi="Times New Roman" w:cs="Times New Roman"/>
          <w:sz w:val="24"/>
          <w:szCs w:val="24"/>
        </w:rPr>
        <w:t>].</w:t>
      </w:r>
    </w:p>
    <w:p w14:paraId="553B1665" w14:textId="77777777" w:rsidR="00BB331A" w:rsidRDefault="00000000">
      <w:pPr>
        <w:numPr>
          <w:ilvl w:val="0"/>
          <w:numId w:val="1"/>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Ubertowska</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Comforting</w:t>
      </w:r>
      <w:proofErr w:type="spellEnd"/>
      <w:r>
        <w:rPr>
          <w:rFonts w:ascii="Times New Roman" w:eastAsia="Times New Roman" w:hAnsi="Times New Roman" w:cs="Times New Roman"/>
          <w:sz w:val="24"/>
          <w:szCs w:val="24"/>
        </w:rPr>
        <w:t xml:space="preserve"> Power of </w:t>
      </w:r>
      <w:proofErr w:type="spellStart"/>
      <w:r>
        <w:rPr>
          <w:rFonts w:ascii="Times New Roman" w:eastAsia="Times New Roman" w:hAnsi="Times New Roman" w:cs="Times New Roman"/>
          <w:sz w:val="24"/>
          <w:szCs w:val="24"/>
        </w:rPr>
        <w:t>Kitsch</w:t>
      </w:r>
      <w:proofErr w:type="spellEnd"/>
      <w:r>
        <w:rPr>
          <w:rFonts w:ascii="Times New Roman" w:eastAsia="Times New Roman" w:hAnsi="Times New Roman" w:cs="Times New Roman"/>
          <w:sz w:val="24"/>
          <w:szCs w:val="24"/>
        </w:rPr>
        <w:t>. The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Meanders</w:t>
      </w:r>
      <w:proofErr w:type="spellEnd"/>
      <w:r>
        <w:rPr>
          <w:rFonts w:ascii="Times New Roman" w:eastAsia="Times New Roman" w:hAnsi="Times New Roman" w:cs="Times New Roman"/>
          <w:sz w:val="24"/>
          <w:szCs w:val="24"/>
        </w:rPr>
        <w:t xml:space="preserve"> of Holocaust </w:t>
      </w:r>
      <w:proofErr w:type="spellStart"/>
      <w:r>
        <w:rPr>
          <w:rFonts w:ascii="Times New Roman" w:eastAsia="Times New Roman" w:hAnsi="Times New Roman" w:cs="Times New Roman"/>
          <w:sz w:val="24"/>
          <w:szCs w:val="24"/>
        </w:rPr>
        <w:t>Literature</w:t>
      </w:r>
      <w:proofErr w:type="spellEnd"/>
      <w:r>
        <w:rPr>
          <w:rFonts w:ascii="Times New Roman" w:eastAsia="Times New Roman" w:hAnsi="Times New Roman" w:cs="Times New Roman"/>
          <w:sz w:val="24"/>
          <w:szCs w:val="24"/>
        </w:rPr>
        <w:t>, Zagłada Żydów. Studia i Materiały, 2010 [</w:t>
      </w:r>
      <w:hyperlink r:id="rId20">
        <w:r>
          <w:rPr>
            <w:rFonts w:ascii="Times New Roman" w:eastAsia="Times New Roman" w:hAnsi="Times New Roman" w:cs="Times New Roman"/>
            <w:color w:val="1155CC"/>
            <w:sz w:val="24"/>
            <w:szCs w:val="24"/>
            <w:u w:val="single"/>
          </w:rPr>
          <w:t>https://zagladazydow.pl/index.php/zz/article/view/123/118</w:t>
        </w:r>
      </w:hyperlink>
      <w:r>
        <w:rPr>
          <w:rFonts w:ascii="Times New Roman" w:eastAsia="Times New Roman" w:hAnsi="Times New Roman" w:cs="Times New Roman"/>
          <w:sz w:val="24"/>
          <w:szCs w:val="24"/>
        </w:rPr>
        <w:t xml:space="preserve">]. </w:t>
      </w:r>
    </w:p>
    <w:sectPr w:rsidR="00BB331A">
      <w:footerReference w:type="default" r:id="rId2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59498" w14:textId="77777777" w:rsidR="0006605A" w:rsidRDefault="0006605A">
      <w:pPr>
        <w:spacing w:line="240" w:lineRule="auto"/>
      </w:pPr>
      <w:r>
        <w:separator/>
      </w:r>
    </w:p>
  </w:endnote>
  <w:endnote w:type="continuationSeparator" w:id="0">
    <w:p w14:paraId="16EBC846" w14:textId="77777777" w:rsidR="0006605A" w:rsidRDefault="000660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3C87" w14:textId="77777777" w:rsidR="00BB331A"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060080">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4FE81" w14:textId="77777777" w:rsidR="0006605A" w:rsidRDefault="0006605A">
      <w:pPr>
        <w:spacing w:line="240" w:lineRule="auto"/>
      </w:pPr>
      <w:r>
        <w:separator/>
      </w:r>
    </w:p>
  </w:footnote>
  <w:footnote w:type="continuationSeparator" w:id="0">
    <w:p w14:paraId="770EF85F" w14:textId="77777777" w:rsidR="0006605A" w:rsidRDefault="0006605A">
      <w:pPr>
        <w:spacing w:line="240" w:lineRule="auto"/>
      </w:pPr>
      <w:r>
        <w:continuationSeparator/>
      </w:r>
    </w:p>
  </w:footnote>
  <w:footnote w:id="1">
    <w:p w14:paraId="495F4528" w14:textId="77777777" w:rsidR="00BB331A" w:rsidRDefault="00000000">
      <w:pPr>
        <w:spacing w:line="240" w:lineRule="auto"/>
        <w:rPr>
          <w:sz w:val="20"/>
          <w:szCs w:val="20"/>
        </w:rPr>
      </w:pPr>
      <w:r>
        <w:rPr>
          <w:vertAlign w:val="superscript"/>
        </w:rPr>
        <w:footnoteRef/>
      </w:r>
      <w:r>
        <w:rPr>
          <w:sz w:val="20"/>
          <w:szCs w:val="20"/>
        </w:rPr>
        <w:t xml:space="preserve"> M. </w:t>
      </w:r>
      <w:proofErr w:type="spellStart"/>
      <w:r>
        <w:rPr>
          <w:sz w:val="20"/>
          <w:szCs w:val="20"/>
        </w:rPr>
        <w:t>Gaze</w:t>
      </w:r>
      <w:proofErr w:type="spellEnd"/>
      <w:r>
        <w:rPr>
          <w:sz w:val="20"/>
          <w:szCs w:val="20"/>
        </w:rPr>
        <w:t xml:space="preserve">, M. Karasek, </w:t>
      </w:r>
      <w:r>
        <w:rPr>
          <w:i/>
          <w:sz w:val="20"/>
          <w:szCs w:val="20"/>
        </w:rPr>
        <w:t>Kicz niejedno ma imię, czyli o językowym obrazie kiczu (na podstawie analizy słownikowej oraz stron www)</w:t>
      </w:r>
      <w:r>
        <w:rPr>
          <w:sz w:val="20"/>
          <w:szCs w:val="20"/>
        </w:rPr>
        <w:t>, 2016 [</w:t>
      </w:r>
      <w:hyperlink r:id="rId1">
        <w:r>
          <w:rPr>
            <w:color w:val="1155CC"/>
            <w:sz w:val="20"/>
            <w:szCs w:val="20"/>
            <w:u w:val="single"/>
          </w:rPr>
          <w:t>https://www.researchgate.net/publication/362594932_Kicz_niejedno_ma_imie_czyli_o_jezykowym_obrazie_kiczu_na_podstawie_analizy_slownikowej_oraz_stron_www</w:t>
        </w:r>
      </w:hyperlink>
      <w:r>
        <w:rPr>
          <w:sz w:val="20"/>
          <w:szCs w:val="20"/>
        </w:rPr>
        <w:t xml:space="preserve"> dostęp: 16.06.2025].</w:t>
      </w:r>
    </w:p>
  </w:footnote>
  <w:footnote w:id="2">
    <w:p w14:paraId="66ECF0C9" w14:textId="77777777" w:rsidR="00BB331A" w:rsidRDefault="00000000">
      <w:pPr>
        <w:spacing w:line="240" w:lineRule="auto"/>
        <w:rPr>
          <w:sz w:val="20"/>
          <w:szCs w:val="20"/>
        </w:rPr>
      </w:pPr>
      <w:r>
        <w:rPr>
          <w:vertAlign w:val="superscript"/>
        </w:rPr>
        <w:footnoteRef/>
      </w:r>
      <w:r>
        <w:rPr>
          <w:sz w:val="20"/>
          <w:szCs w:val="20"/>
        </w:rPr>
        <w:t xml:space="preserve"> C. </w:t>
      </w:r>
      <w:proofErr w:type="spellStart"/>
      <w:r>
        <w:rPr>
          <w:sz w:val="20"/>
          <w:szCs w:val="20"/>
        </w:rPr>
        <w:t>Greenberg</w:t>
      </w:r>
      <w:proofErr w:type="spellEnd"/>
      <w:r>
        <w:rPr>
          <w:sz w:val="20"/>
          <w:szCs w:val="20"/>
        </w:rPr>
        <w:t xml:space="preserve">, </w:t>
      </w:r>
      <w:proofErr w:type="spellStart"/>
      <w:r>
        <w:rPr>
          <w:sz w:val="20"/>
          <w:szCs w:val="20"/>
        </w:rPr>
        <w:t>Avant-Garde</w:t>
      </w:r>
      <w:proofErr w:type="spellEnd"/>
      <w:r>
        <w:rPr>
          <w:sz w:val="20"/>
          <w:szCs w:val="20"/>
        </w:rPr>
        <w:t xml:space="preserve"> and </w:t>
      </w:r>
      <w:proofErr w:type="spellStart"/>
      <w:r>
        <w:rPr>
          <w:sz w:val="20"/>
          <w:szCs w:val="20"/>
        </w:rPr>
        <w:t>Kitsch</w:t>
      </w:r>
      <w:proofErr w:type="spellEnd"/>
      <w:r>
        <w:rPr>
          <w:sz w:val="20"/>
          <w:szCs w:val="20"/>
        </w:rPr>
        <w:t>, 1939 [</w:t>
      </w:r>
      <w:hyperlink r:id="rId2">
        <w:r>
          <w:rPr>
            <w:color w:val="1155CC"/>
            <w:sz w:val="20"/>
            <w:szCs w:val="20"/>
            <w:u w:val="single"/>
          </w:rPr>
          <w:t>https://resources.finalsite.net/images/v1606923282/slcschoolsorg/wumlyaskvhhzawsvbbzc/Avant-GardeandKitsch.pdf</w:t>
        </w:r>
      </w:hyperlink>
      <w:r>
        <w:rPr>
          <w:sz w:val="20"/>
          <w:szCs w:val="20"/>
        </w:rPr>
        <w:t xml:space="preserve"> dostęp 25.08.2025].</w:t>
      </w:r>
    </w:p>
  </w:footnote>
  <w:footnote w:id="3">
    <w:p w14:paraId="2ADE4662" w14:textId="77777777" w:rsidR="00BB331A" w:rsidRDefault="00000000">
      <w:pPr>
        <w:spacing w:line="240" w:lineRule="auto"/>
        <w:rPr>
          <w:sz w:val="20"/>
          <w:szCs w:val="20"/>
        </w:rPr>
      </w:pPr>
      <w:r>
        <w:rPr>
          <w:vertAlign w:val="superscript"/>
        </w:rPr>
        <w:footnoteRef/>
      </w:r>
      <w:r>
        <w:rPr>
          <w:sz w:val="20"/>
          <w:szCs w:val="20"/>
        </w:rPr>
        <w:t xml:space="preserve"> S. </w:t>
      </w:r>
      <w:proofErr w:type="spellStart"/>
      <w:r>
        <w:rPr>
          <w:sz w:val="20"/>
          <w:szCs w:val="20"/>
        </w:rPr>
        <w:t>Grodny</w:t>
      </w:r>
      <w:proofErr w:type="spellEnd"/>
      <w:r>
        <w:rPr>
          <w:sz w:val="20"/>
          <w:szCs w:val="20"/>
        </w:rPr>
        <w:t xml:space="preserve">, J. Gruszka, K. Łuczaj, </w:t>
      </w:r>
      <w:r>
        <w:rPr>
          <w:i/>
          <w:sz w:val="20"/>
          <w:szCs w:val="20"/>
        </w:rPr>
        <w:t>O zawężaniu wyższego gustu estetycznego. Analiza zjawiska wszystkożerności kulturowej w Polsce,</w:t>
      </w:r>
      <w:r>
        <w:rPr>
          <w:sz w:val="20"/>
          <w:szCs w:val="20"/>
        </w:rPr>
        <w:t xml:space="preserve"> Studia socjologiczne 2013, 2 (209), [</w:t>
      </w:r>
      <w:hyperlink r:id="rId3">
        <w:r>
          <w:rPr>
            <w:color w:val="1155CC"/>
            <w:sz w:val="20"/>
            <w:szCs w:val="20"/>
            <w:u w:val="single"/>
          </w:rPr>
          <w:t>https://ruj.uj.edu.pl/server/api/core/bitstreams/f8871438-18c6-4a3d-b94d-0d1d849a951d/content</w:t>
        </w:r>
      </w:hyperlink>
      <w:r>
        <w:rPr>
          <w:sz w:val="20"/>
          <w:szCs w:val="20"/>
        </w:rPr>
        <w:t xml:space="preserve"> dostęp: 25.08.2025].</w:t>
      </w:r>
    </w:p>
  </w:footnote>
  <w:footnote w:id="4">
    <w:p w14:paraId="2C3EDEA4" w14:textId="77777777" w:rsidR="00BB331A" w:rsidRDefault="00000000">
      <w:pPr>
        <w:spacing w:line="240" w:lineRule="auto"/>
        <w:rPr>
          <w:sz w:val="20"/>
          <w:szCs w:val="20"/>
        </w:rPr>
      </w:pPr>
      <w:r>
        <w:rPr>
          <w:vertAlign w:val="superscript"/>
        </w:rPr>
        <w:footnoteRef/>
      </w:r>
      <w:r>
        <w:rPr>
          <w:sz w:val="20"/>
          <w:szCs w:val="20"/>
        </w:rPr>
        <w:t xml:space="preserve"> P. </w:t>
      </w:r>
      <w:proofErr w:type="spellStart"/>
      <w:r>
        <w:rPr>
          <w:sz w:val="20"/>
          <w:szCs w:val="20"/>
        </w:rPr>
        <w:t>Bourdieu</w:t>
      </w:r>
      <w:proofErr w:type="spellEnd"/>
      <w:r>
        <w:rPr>
          <w:sz w:val="20"/>
          <w:szCs w:val="20"/>
        </w:rPr>
        <w:t xml:space="preserve">, </w:t>
      </w:r>
      <w:r>
        <w:rPr>
          <w:i/>
          <w:sz w:val="20"/>
          <w:szCs w:val="20"/>
        </w:rPr>
        <w:t>Dystynkcja. Społeczna krytyka władzy sądzenia</w:t>
      </w:r>
      <w:r>
        <w:rPr>
          <w:sz w:val="20"/>
          <w:szCs w:val="20"/>
        </w:rPr>
        <w:t xml:space="preserve">, tłum. Piotr </w:t>
      </w:r>
      <w:proofErr w:type="spellStart"/>
      <w:r>
        <w:rPr>
          <w:sz w:val="20"/>
          <w:szCs w:val="20"/>
        </w:rPr>
        <w:t>Biłos</w:t>
      </w:r>
      <w:proofErr w:type="spellEnd"/>
      <w:r>
        <w:rPr>
          <w:sz w:val="20"/>
          <w:szCs w:val="20"/>
        </w:rPr>
        <w:t>, Scholar,</w:t>
      </w:r>
    </w:p>
    <w:p w14:paraId="02F00689" w14:textId="77777777" w:rsidR="00BB331A" w:rsidRDefault="00000000">
      <w:pPr>
        <w:spacing w:line="240" w:lineRule="auto"/>
        <w:rPr>
          <w:sz w:val="20"/>
          <w:szCs w:val="20"/>
        </w:rPr>
      </w:pPr>
      <w:r>
        <w:rPr>
          <w:sz w:val="20"/>
          <w:szCs w:val="20"/>
        </w:rPr>
        <w:t>Warszawa 2005.</w:t>
      </w:r>
    </w:p>
  </w:footnote>
  <w:footnote w:id="5">
    <w:p w14:paraId="4D3757C9" w14:textId="77777777" w:rsidR="00BB331A" w:rsidRDefault="00000000">
      <w:pPr>
        <w:spacing w:line="240" w:lineRule="auto"/>
        <w:rPr>
          <w:sz w:val="20"/>
          <w:szCs w:val="20"/>
        </w:rPr>
      </w:pPr>
      <w:r>
        <w:rPr>
          <w:vertAlign w:val="superscript"/>
        </w:rPr>
        <w:footnoteRef/>
      </w:r>
      <w:r>
        <w:rPr>
          <w:sz w:val="20"/>
          <w:szCs w:val="20"/>
        </w:rPr>
        <w:t xml:space="preserve"> A. </w:t>
      </w:r>
      <w:proofErr w:type="spellStart"/>
      <w:r>
        <w:rPr>
          <w:sz w:val="20"/>
          <w:szCs w:val="20"/>
        </w:rPr>
        <w:t>Ubertowska</w:t>
      </w:r>
      <w:proofErr w:type="spellEnd"/>
      <w:r>
        <w:rPr>
          <w:sz w:val="20"/>
          <w:szCs w:val="20"/>
        </w:rPr>
        <w:t>, T</w:t>
      </w:r>
      <w:r>
        <w:rPr>
          <w:i/>
          <w:sz w:val="20"/>
          <w:szCs w:val="20"/>
        </w:rPr>
        <w:t xml:space="preserve">he </w:t>
      </w:r>
      <w:proofErr w:type="spellStart"/>
      <w:r>
        <w:rPr>
          <w:i/>
          <w:sz w:val="20"/>
          <w:szCs w:val="20"/>
        </w:rPr>
        <w:t>Comforting</w:t>
      </w:r>
      <w:proofErr w:type="spellEnd"/>
      <w:r>
        <w:rPr>
          <w:i/>
          <w:sz w:val="20"/>
          <w:szCs w:val="20"/>
        </w:rPr>
        <w:t xml:space="preserve"> Power of </w:t>
      </w:r>
      <w:proofErr w:type="spellStart"/>
      <w:r>
        <w:rPr>
          <w:i/>
          <w:sz w:val="20"/>
          <w:szCs w:val="20"/>
        </w:rPr>
        <w:t>Kitsch</w:t>
      </w:r>
      <w:proofErr w:type="spellEnd"/>
      <w:r>
        <w:rPr>
          <w:i/>
          <w:sz w:val="20"/>
          <w:szCs w:val="20"/>
        </w:rPr>
        <w:t>. The (</w:t>
      </w:r>
      <w:proofErr w:type="spellStart"/>
      <w:r>
        <w:rPr>
          <w:i/>
          <w:sz w:val="20"/>
          <w:szCs w:val="20"/>
        </w:rPr>
        <w:t>Esthetic</w:t>
      </w:r>
      <w:proofErr w:type="spellEnd"/>
      <w:r>
        <w:rPr>
          <w:i/>
          <w:sz w:val="20"/>
          <w:szCs w:val="20"/>
        </w:rPr>
        <w:t xml:space="preserve">) </w:t>
      </w:r>
      <w:proofErr w:type="spellStart"/>
      <w:r>
        <w:rPr>
          <w:i/>
          <w:sz w:val="20"/>
          <w:szCs w:val="20"/>
        </w:rPr>
        <w:t>Meanders</w:t>
      </w:r>
      <w:proofErr w:type="spellEnd"/>
      <w:r>
        <w:rPr>
          <w:i/>
          <w:sz w:val="20"/>
          <w:szCs w:val="20"/>
        </w:rPr>
        <w:t xml:space="preserve"> of Holocaust </w:t>
      </w:r>
      <w:proofErr w:type="spellStart"/>
      <w:r>
        <w:rPr>
          <w:i/>
          <w:sz w:val="20"/>
          <w:szCs w:val="20"/>
        </w:rPr>
        <w:t>Literature</w:t>
      </w:r>
      <w:proofErr w:type="spellEnd"/>
      <w:r>
        <w:rPr>
          <w:sz w:val="20"/>
          <w:szCs w:val="20"/>
        </w:rPr>
        <w:t>, Zagłada Żydów. Studia i Materiały, 2010 [</w:t>
      </w:r>
      <w:hyperlink r:id="rId4">
        <w:r>
          <w:rPr>
            <w:color w:val="1155CC"/>
            <w:sz w:val="20"/>
            <w:szCs w:val="20"/>
            <w:u w:val="single"/>
          </w:rPr>
          <w:t>https://zagladazydow.pl/index.php/zz/article/view/123/118</w:t>
        </w:r>
      </w:hyperlink>
      <w:r>
        <w:rPr>
          <w:sz w:val="20"/>
          <w:szCs w:val="20"/>
        </w:rPr>
        <w:t xml:space="preserve"> dostęp: 25.06.2025]</w:t>
      </w:r>
    </w:p>
  </w:footnote>
  <w:footnote w:id="6">
    <w:p w14:paraId="5F2FA5B1" w14:textId="77777777" w:rsidR="00BB331A" w:rsidRDefault="00000000">
      <w:pPr>
        <w:spacing w:line="240" w:lineRule="auto"/>
        <w:rPr>
          <w:sz w:val="20"/>
          <w:szCs w:val="20"/>
        </w:rPr>
      </w:pPr>
      <w:r>
        <w:rPr>
          <w:vertAlign w:val="superscript"/>
        </w:rPr>
        <w:footnoteRef/>
      </w:r>
      <w:r>
        <w:rPr>
          <w:sz w:val="20"/>
          <w:szCs w:val="20"/>
        </w:rPr>
        <w:t xml:space="preserve"> P. Jaworski, </w:t>
      </w:r>
      <w:r>
        <w:rPr>
          <w:i/>
          <w:sz w:val="20"/>
          <w:szCs w:val="20"/>
        </w:rPr>
        <w:t>Kicz w trzech odsłonach</w:t>
      </w:r>
      <w:r>
        <w:rPr>
          <w:sz w:val="20"/>
          <w:szCs w:val="20"/>
        </w:rPr>
        <w:t>, Czasopisma PAN, 2013 [</w:t>
      </w:r>
      <w:hyperlink r:id="rId5">
        <w:r>
          <w:rPr>
            <w:color w:val="1155CC"/>
            <w:sz w:val="20"/>
            <w:szCs w:val="20"/>
            <w:u w:val="single"/>
          </w:rPr>
          <w:t>https://journals.pan.pl/Content/86744/PDF/Journal10276-Volume57_Issue1-09_paper.pdf</w:t>
        </w:r>
      </w:hyperlink>
      <w:r>
        <w:rPr>
          <w:sz w:val="20"/>
          <w:szCs w:val="20"/>
        </w:rPr>
        <w:t xml:space="preserve"> dostęp 25.08.2025].</w:t>
      </w:r>
    </w:p>
  </w:footnote>
  <w:footnote w:id="7">
    <w:p w14:paraId="41F468D1" w14:textId="77777777" w:rsidR="00BB331A"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[HASŁO: FAST FASHION] w internetowym Cambridge Dictionary:</w:t>
      </w:r>
      <w:hyperlink r:id="rId6">
        <w:r>
          <w:rPr>
            <w:rFonts w:ascii="Times New Roman" w:eastAsia="Times New Roman" w:hAnsi="Times New Roman" w:cs="Times New Roman"/>
            <w:color w:val="1155CC"/>
            <w:sz w:val="20"/>
            <w:szCs w:val="20"/>
            <w:u w:val="single"/>
          </w:rPr>
          <w:t>https://dictionary.cambridge.org/pl/dictionary/english/fast-fashion</w:t>
        </w:r>
      </w:hyperlink>
      <w:r>
        <w:rPr>
          <w:rFonts w:ascii="Times New Roman" w:eastAsia="Times New Roman" w:hAnsi="Times New Roman" w:cs="Times New Roman"/>
          <w:sz w:val="20"/>
          <w:szCs w:val="20"/>
        </w:rPr>
        <w:t>, [dostęp: 25.08.2025]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563128"/>
    <w:multiLevelType w:val="multilevel"/>
    <w:tmpl w:val="230E3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501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31A"/>
    <w:rsid w:val="00060080"/>
    <w:rsid w:val="0006605A"/>
    <w:rsid w:val="002B746A"/>
    <w:rsid w:val="00BB33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5F161"/>
  <w15:docId w15:val="{4F0AEE2D-7FF5-4935-B2EB-2F4EBBE6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line="360" w:lineRule="auto"/>
      <w:outlineLvl w:val="0"/>
    </w:pPr>
    <w:rPr>
      <w:rFonts w:ascii="Times New Roman" w:eastAsia="Times New Roman" w:hAnsi="Times New Roman" w:cs="Times New Roman"/>
      <w:b/>
      <w:sz w:val="24"/>
      <w:szCs w:val="24"/>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ruj.uj.edu.pl/server/api/core/bitstreams/f8871438-18c6-4a3d-b94d-0d1d849a951d/conten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resources.finalsite.net/images/v1606923282/slcschoolsorg/wumlyaskvhhzawsvbbzc/Avant-GardeandKitsch.pdf"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zagladazydow.pl/index.php/zz/article/view/123/1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journals.pan.pl/Content/86744/PDF/Journal10276-Volume57_Issue1-09_paper.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ruj.uj.edu.pl/server/api/core/bitstreams/f8871438-18c6-4a3d-b94d-0d1d849a951d/content" TargetMode="External"/><Relationship Id="rId2" Type="http://schemas.openxmlformats.org/officeDocument/2006/relationships/hyperlink" Target="https://resources.finalsite.net/images/v1606923282/slcschoolsorg/wumlyaskvhhzawsvbbzc/Avant-GardeandKitsch.pdf" TargetMode="External"/><Relationship Id="rId1" Type="http://schemas.openxmlformats.org/officeDocument/2006/relationships/hyperlink" Target="https://www.researchgate.net/publication/362594932_Kicz_niejedno_ma_imie_czyli_o_jezykowym_obrazie_kiczu_na_podstawie_analizy_slownikowej_oraz_stron_www" TargetMode="External"/><Relationship Id="rId6" Type="http://schemas.openxmlformats.org/officeDocument/2006/relationships/hyperlink" Target="https://dictionary.cambridge.org/pl/dictionary/english/fast-fashion" TargetMode="External"/><Relationship Id="rId5" Type="http://schemas.openxmlformats.org/officeDocument/2006/relationships/hyperlink" Target="https://journals.pan.pl/Content/86744/PDF/Journal10276-Volume57_Issue1-09_paper.pdf" TargetMode="External"/><Relationship Id="rId4" Type="http://schemas.openxmlformats.org/officeDocument/2006/relationships/hyperlink" Target="https://zagladazydow.pl/index.php/zz/article/view/123/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1518</Words>
  <Characters>9109</Characters>
  <Application>Microsoft Office Word</Application>
  <DocSecurity>0</DocSecurity>
  <Lines>75</Lines>
  <Paragraphs>21</Paragraphs>
  <ScaleCrop>false</ScaleCrop>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Łukasiuk</dc:creator>
  <cp:lastModifiedBy>Magdalena Łukasiuk</cp:lastModifiedBy>
  <cp:revision>2</cp:revision>
  <dcterms:created xsi:type="dcterms:W3CDTF">2025-09-12T07:15:00Z</dcterms:created>
  <dcterms:modified xsi:type="dcterms:W3CDTF">2025-09-12T07:15:00Z</dcterms:modified>
</cp:coreProperties>
</file>